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6BF0" w14:textId="38B30E81" w:rsidR="00C34587" w:rsidRPr="000E50E0" w:rsidRDefault="00C34587" w:rsidP="00C3458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</w:pP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t>In sintesi elenchiamo le principali novità che abbiamo introdotto nella </w:t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convenzione 2024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t> in base alle specifiche esigenze e proposte che in questi mesi ci avete inviato: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- Tutte le polizze prevedono in caso di ammanco di cassa l’eliminazione della franchigia fissa sul primo sinistro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- Retroattività di 10 anni dalla prima adesione alla Convenzione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- Le polizze RC Professionale comprendono le violazioni della normativa sulla privacy e le sanzioni per la violazione di banconote false e la negoziazione di assegni sprovvisti della clausola "non trasferibili" nel caso di azione di rivalsa da parte dell'Istituto di credit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- La polizza è estesa agli errori formali e/o documentali nella stipula di assicurazioni in conformità al Regolamento IVASS 40, comprendendo tutti coloro che all’interno dell’istituto di credito si occupano di assicurazioni.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- Ricordiamo che sulle polizze è prevista l’estensione GRATUITA alla Responsabilità Civile del Capofamiglia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- È stato ridotto il massimo scoperto a carico degli assicurati sulla polizza RC Ammanchi + RC Professionale passando da € 5.000,00 a 3.000,00</w:t>
      </w:r>
    </w:p>
    <w:p w14:paraId="22219B59" w14:textId="77777777" w:rsidR="00C34587" w:rsidRPr="000E50E0" w:rsidRDefault="00C34587" w:rsidP="00C34587">
      <w:pPr>
        <w:shd w:val="clear" w:color="auto" w:fill="FFFFFF"/>
        <w:spacing w:after="300" w:line="435" w:lineRule="atLeast"/>
        <w:outlineLvl w:val="1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</w:pPr>
      <w:r w:rsidRPr="000E50E0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it-IT"/>
          <w14:ligatures w14:val="none"/>
        </w:rPr>
        <w:t>Convenzione bancari 2024 - Sezione A - B - C</w:t>
      </w:r>
    </w:p>
    <w:p w14:paraId="7E5171E8" w14:textId="6173A346" w:rsidR="00C34587" w:rsidRPr="000E50E0" w:rsidRDefault="00C34587" w:rsidP="00C3458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</w:pP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t>Troverai soluzioni per coprire il rischio delle mansioni del Cassiere ed il rischio Professionale, inoltre tutte le opzioni (esclusa la 1A) prevedono una copertura </w:t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GRATUITA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t> di </w:t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Responsabilità Civile del Capo Famiglia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t>.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  <w:t>Consigliamo ai cassieri, per una più completa copertura assicurativa, di aderire alla polizza RC Cassieri + RC Professionale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  <w:t>Puoi procedere all'iscrizione attraverso questo sito internet, seguendo pochi e semplici passaggi. Al termine riceverai sulla casella di posta elettronica utilizzata per l'iscrizione una conferma di avvenuta registrazione. Dovrai quindi procedere al pagamento del premio attraverso bonifico sul c/c dedicato (le coordinate verranno fornite successivamente).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  <w:t>L’assicurazione ha effetto dalle </w:t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ore 24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t> del giorno </w:t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31/12/2023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t> per le </w:t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adesioni pervenute e bonificate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t> con </w:t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valuta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t> fissa al Broker entro le </w:t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ore 24 del 31/12/2023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Per le adesioni pervenute in epoca successiva al 31/12/2023, l'assicurazione ha effetto dalle ore 24 del giorno di valuta fissa indicata sul bonifico al Broker</w:t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color w:val="666666"/>
          <w:kern w:val="0"/>
          <w:sz w:val="24"/>
          <w:szCs w:val="24"/>
          <w:lang w:eastAsia="it-IT"/>
          <w14:ligatures w14:val="none"/>
        </w:rPr>
        <w:br/>
      </w:r>
      <w:r w:rsidRPr="000E50E0">
        <w:rPr>
          <w:rFonts w:ascii="Arial" w:eastAsia="Times New Roman" w:hAnsi="Arial" w:cs="Arial"/>
          <w:b/>
          <w:bCs/>
          <w:color w:val="666666"/>
          <w:kern w:val="0"/>
          <w:sz w:val="24"/>
          <w:szCs w:val="24"/>
          <w:lang w:eastAsia="it-IT"/>
          <w14:ligatures w14:val="none"/>
        </w:rPr>
        <w:t>Ti ricordiamo di leggere attentamente il DIP e le condizioni di Polizza prima della sottoscrizione</w:t>
      </w:r>
    </w:p>
    <w:sectPr w:rsidR="00C34587" w:rsidRPr="000E50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87"/>
    <w:rsid w:val="000E50E0"/>
    <w:rsid w:val="00C17C30"/>
    <w:rsid w:val="00C3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2E6B"/>
  <w15:chartTrackingRefBased/>
  <w15:docId w15:val="{A47B8347-491C-4FFC-8376-50A86EE8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4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4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458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4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458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4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4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4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4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58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345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58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58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458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45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45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45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45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4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4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45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4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45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45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45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458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45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458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4587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34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C345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strumia</dc:creator>
  <cp:keywords/>
  <dc:description/>
  <cp:lastModifiedBy>renato strumia</cp:lastModifiedBy>
  <cp:revision>2</cp:revision>
  <dcterms:created xsi:type="dcterms:W3CDTF">2023-12-21T15:47:00Z</dcterms:created>
  <dcterms:modified xsi:type="dcterms:W3CDTF">2023-12-21T15:47:00Z</dcterms:modified>
</cp:coreProperties>
</file>